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BF5CF" w14:textId="069A1EDF" w:rsidR="00C81427" w:rsidRPr="00C81427" w:rsidRDefault="00C81427" w:rsidP="00C81427">
      <w:pPr>
        <w:jc w:val="center"/>
        <w:rPr>
          <w:b/>
          <w:bCs/>
          <w:noProof/>
          <w:sz w:val="96"/>
          <w:szCs w:val="96"/>
        </w:rPr>
      </w:pPr>
      <w:r w:rsidRPr="00C81427">
        <w:rPr>
          <w:b/>
          <w:bCs/>
          <w:noProof/>
          <w:sz w:val="96"/>
          <w:szCs w:val="96"/>
        </w:rPr>
        <w:t>CAP RATES</w:t>
      </w:r>
    </w:p>
    <w:p w14:paraId="6B381F5C" w14:textId="3F35C78E" w:rsidR="00C81427" w:rsidRPr="00437F39" w:rsidRDefault="00C81427" w:rsidP="00C81427">
      <w:pPr>
        <w:jc w:val="center"/>
        <w:rPr>
          <w:b/>
          <w:bCs/>
          <w:color w:val="111111"/>
          <w:sz w:val="28"/>
          <w:szCs w:val="28"/>
          <w:shd w:val="clear" w:color="auto" w:fill="FFFFFF"/>
        </w:rPr>
      </w:pPr>
      <w:r w:rsidRPr="00437F39">
        <w:rPr>
          <w:color w:val="111111"/>
          <w:sz w:val="28"/>
          <w:szCs w:val="28"/>
          <w:shd w:val="clear" w:color="auto" w:fill="FFFFFF"/>
        </w:rPr>
        <w:t>The</w:t>
      </w:r>
      <w:r w:rsidRPr="00437F39">
        <w:rPr>
          <w:b/>
          <w:bCs/>
          <w:color w:val="111111"/>
          <w:sz w:val="28"/>
          <w:szCs w:val="28"/>
          <w:shd w:val="clear" w:color="auto" w:fill="FFFFFF"/>
        </w:rPr>
        <w:t> </w:t>
      </w:r>
      <w:r w:rsidRPr="00437F39">
        <w:rPr>
          <w:rStyle w:val="Strong"/>
          <w:b w:val="0"/>
          <w:bCs w:val="0"/>
          <w:color w:val="111111"/>
          <w:sz w:val="28"/>
          <w:szCs w:val="28"/>
        </w:rPr>
        <w:t>capitalization rate (also known as cap rate) is used in the world of commercial real estate to indicate the rate of return that is expected to be generated on a real estate investment property</w:t>
      </w:r>
      <w:r w:rsidRPr="00437F39">
        <w:rPr>
          <w:b/>
          <w:bCs/>
          <w:color w:val="111111"/>
          <w:sz w:val="28"/>
          <w:szCs w:val="28"/>
          <w:shd w:val="clear" w:color="auto" w:fill="FFFFFF"/>
        </w:rPr>
        <w:t>.</w:t>
      </w:r>
    </w:p>
    <w:p w14:paraId="6317FE89" w14:textId="77777777" w:rsidR="00C81427" w:rsidRPr="00437F39" w:rsidRDefault="00C81427" w:rsidP="00C81427">
      <w:pPr>
        <w:jc w:val="center"/>
        <w:rPr>
          <w:rStyle w:val="Strong"/>
          <w:rFonts w:cs="Arial"/>
          <w:color w:val="111111"/>
          <w:spacing w:val="1"/>
          <w:sz w:val="28"/>
          <w:szCs w:val="28"/>
          <w:shd w:val="clear" w:color="auto" w:fill="FFFFFF"/>
        </w:rPr>
      </w:pPr>
      <w:r w:rsidRPr="00437F39">
        <w:rPr>
          <w:rStyle w:val="Strong"/>
          <w:rFonts w:cs="Arial"/>
          <w:color w:val="111111"/>
          <w:spacing w:val="1"/>
          <w:sz w:val="28"/>
          <w:szCs w:val="28"/>
          <w:shd w:val="clear" w:color="auto" w:fill="FFFFFF"/>
        </w:rPr>
        <w:t>Capitalization Rate = Net Operating Income / Current Market Value</w:t>
      </w:r>
    </w:p>
    <w:p w14:paraId="2A8CC030" w14:textId="77777777" w:rsidR="00C81427" w:rsidRPr="00437F39" w:rsidRDefault="00C81427" w:rsidP="00C81427">
      <w:pPr>
        <w:pStyle w:val="comp"/>
        <w:shd w:val="clear" w:color="auto" w:fill="FFFFFF"/>
        <w:spacing w:before="0" w:beforeAutospacing="0"/>
        <w:jc w:val="center"/>
        <w:rPr>
          <w:rFonts w:asciiTheme="minorHAnsi" w:hAnsiTheme="minorHAnsi" w:cs="Arial"/>
          <w:color w:val="111111"/>
          <w:spacing w:val="1"/>
          <w:sz w:val="28"/>
          <w:szCs w:val="28"/>
        </w:rPr>
      </w:pPr>
      <w:r w:rsidRPr="00437F39">
        <w:rPr>
          <w:rFonts w:asciiTheme="minorHAnsi" w:hAnsiTheme="minorHAnsi" w:cs="Arial"/>
          <w:color w:val="111111"/>
          <w:spacing w:val="1"/>
          <w:sz w:val="28"/>
          <w:szCs w:val="28"/>
        </w:rPr>
        <w:t>Since cap rates are based on the projected estimates of the future income, they are subject to high variance. It then becomes important to understand what constitutes a good cap rate for an investment property.</w:t>
      </w:r>
    </w:p>
    <w:p w14:paraId="4F736AAD" w14:textId="3FF2D842" w:rsidR="00C81427" w:rsidRDefault="00C81427" w:rsidP="007638D0">
      <w:pPr>
        <w:pStyle w:val="comp"/>
        <w:shd w:val="clear" w:color="auto" w:fill="FFFFFF"/>
        <w:spacing w:before="0" w:beforeAutospacing="0"/>
        <w:jc w:val="center"/>
        <w:rPr>
          <w:rFonts w:asciiTheme="minorHAnsi" w:hAnsiTheme="minorHAnsi" w:cs="Arial"/>
          <w:color w:val="111111"/>
          <w:spacing w:val="1"/>
          <w:sz w:val="28"/>
          <w:szCs w:val="28"/>
        </w:rPr>
      </w:pPr>
      <w:r w:rsidRPr="00437F39">
        <w:rPr>
          <w:rFonts w:asciiTheme="minorHAnsi" w:hAnsiTheme="minorHAnsi" w:cs="Arial"/>
          <w:color w:val="111111"/>
          <w:spacing w:val="1"/>
          <w:sz w:val="28"/>
          <w:szCs w:val="28"/>
        </w:rPr>
        <w:t xml:space="preserve">The rate also indicates the duration of time it will take to recover the invested amount in a property. For instance, a property having a cap rate of 10% will take around 10 years </w:t>
      </w:r>
      <w:r w:rsidR="007638D0" w:rsidRPr="00437F39">
        <w:rPr>
          <w:rFonts w:asciiTheme="minorHAnsi" w:hAnsiTheme="minorHAnsi" w:cs="Arial"/>
          <w:color w:val="111111"/>
          <w:spacing w:val="1"/>
          <w:sz w:val="28"/>
          <w:szCs w:val="28"/>
        </w:rPr>
        <w:t>to recover</w:t>
      </w:r>
      <w:r w:rsidRPr="00437F39">
        <w:rPr>
          <w:rFonts w:asciiTheme="minorHAnsi" w:hAnsiTheme="minorHAnsi" w:cs="Arial"/>
          <w:color w:val="111111"/>
          <w:spacing w:val="1"/>
          <w:sz w:val="28"/>
          <w:szCs w:val="28"/>
        </w:rPr>
        <w:t xml:space="preserve"> the investment.</w:t>
      </w:r>
    </w:p>
    <w:p w14:paraId="5899A30D" w14:textId="77777777" w:rsidR="007638D0" w:rsidRDefault="00C81427" w:rsidP="007638D0">
      <w:pPr>
        <w:pStyle w:val="comp"/>
        <w:shd w:val="clear" w:color="auto" w:fill="FFFFFF"/>
        <w:spacing w:before="0" w:beforeAutospacing="0"/>
        <w:jc w:val="center"/>
        <w:rPr>
          <w:rFonts w:asciiTheme="minorHAnsi" w:hAnsiTheme="minorHAnsi" w:cs="Arial"/>
          <w:color w:val="111111"/>
          <w:spacing w:val="1"/>
          <w:sz w:val="28"/>
          <w:szCs w:val="28"/>
          <w:shd w:val="clear" w:color="auto" w:fill="FFFFFF"/>
        </w:rPr>
      </w:pPr>
      <w:r>
        <w:rPr>
          <w:noProof/>
        </w:rPr>
        <w:drawing>
          <wp:inline distT="0" distB="0" distL="0" distR="0" wp14:anchorId="3C393E94" wp14:editId="2E2E0D8E">
            <wp:extent cx="5943600" cy="3343275"/>
            <wp:effectExtent l="0" t="0" r="0" b="9525"/>
            <wp:docPr id="71627910" name="Picture 1" descr="21 Real Estate Wallpapers - Wallpaper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 Real Estate Wallpapers - Wallpaperboa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799DFE7E" w14:textId="47490D8D" w:rsidR="00C81427" w:rsidRPr="007638D0" w:rsidRDefault="00C81427" w:rsidP="007638D0">
      <w:pPr>
        <w:pStyle w:val="comp"/>
        <w:shd w:val="clear" w:color="auto" w:fill="FFFFFF"/>
        <w:spacing w:before="0" w:beforeAutospacing="0"/>
        <w:jc w:val="center"/>
        <w:rPr>
          <w:rFonts w:asciiTheme="minorHAnsi" w:hAnsiTheme="minorHAnsi" w:cs="Arial"/>
          <w:color w:val="111111"/>
          <w:spacing w:val="1"/>
          <w:sz w:val="28"/>
          <w:szCs w:val="28"/>
        </w:rPr>
      </w:pPr>
      <w:r w:rsidRPr="00437F39">
        <w:rPr>
          <w:rFonts w:asciiTheme="minorHAnsi" w:hAnsiTheme="minorHAnsi" w:cs="Arial"/>
          <w:color w:val="111111"/>
          <w:spacing w:val="1"/>
          <w:sz w:val="28"/>
          <w:szCs w:val="28"/>
          <w:shd w:val="clear" w:color="auto" w:fill="FFFFFF"/>
        </w:rPr>
        <w:t>Although capitalization rate can be a useful metric for properties that provide stable income, it is less reliable if a property has irregular or inconsistent cash flows.</w:t>
      </w:r>
    </w:p>
    <w:p w14:paraId="0092F1DA" w14:textId="19684A32" w:rsidR="00311DDC" w:rsidRDefault="00145C9E">
      <w:r>
        <w:rPr>
          <w:noProof/>
        </w:rPr>
        <w:lastRenderedPageBreak/>
        <mc:AlternateContent>
          <mc:Choice Requires="wps">
            <w:drawing>
              <wp:anchor distT="45720" distB="45720" distL="114300" distR="114300" simplePos="0" relativeHeight="251659264" behindDoc="0" locked="0" layoutInCell="1" allowOverlap="1" wp14:anchorId="6C52B6D2" wp14:editId="558793C7">
                <wp:simplePos x="0" y="0"/>
                <wp:positionH relativeFrom="margin">
                  <wp:align>right</wp:align>
                </wp:positionH>
                <wp:positionV relativeFrom="paragraph">
                  <wp:posOffset>499745</wp:posOffset>
                </wp:positionV>
                <wp:extent cx="5919470" cy="25717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257175"/>
                        </a:xfrm>
                        <a:prstGeom prst="rect">
                          <a:avLst/>
                        </a:prstGeom>
                        <a:solidFill>
                          <a:srgbClr val="FFFFFF"/>
                        </a:solidFill>
                        <a:ln w="9525">
                          <a:solidFill>
                            <a:schemeClr val="bg1"/>
                          </a:solidFill>
                          <a:miter lim="800000"/>
                          <a:headEnd/>
                          <a:tailEnd/>
                        </a:ln>
                      </wps:spPr>
                      <wps:txbx>
                        <w:txbxContent>
                          <w:p w14:paraId="5AD3D6AC" w14:textId="153CA13E" w:rsidR="00145C9E" w:rsidRPr="00B65945" w:rsidRDefault="00A74710">
                            <w:pPr>
                              <w:rPr>
                                <w:b/>
                                <w:bCs/>
                              </w:rPr>
                            </w:pPr>
                            <w:r w:rsidRPr="00B65945">
                              <w:rPr>
                                <w:b/>
                                <w:bCs/>
                              </w:rPr>
                              <w:t xml:space="preserve">                                 1                                                         2                                                        3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2B6D2" id="_x0000_t202" coordsize="21600,21600" o:spt="202" path="m,l,21600r21600,l21600,xe">
                <v:stroke joinstyle="miter"/>
                <v:path gradientshapeok="t" o:connecttype="rect"/>
              </v:shapetype>
              <v:shape id="Text Box 2" o:spid="_x0000_s1026" type="#_x0000_t202" style="position:absolute;margin-left:414.9pt;margin-top:39.35pt;width:466.1pt;height:2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" strokecolor="white [3212]">
                <v:textbox>
                  <w:txbxContent>
                    <w:p w14:paraId="5AD3D6AC" w14:textId="153CA13E" w:rsidR="00145C9E" w:rsidRPr="00B65945" w:rsidRDefault="00A74710">
                      <w:pPr>
                        <w:rPr>
                          <w:b/>
                          <w:bCs/>
                        </w:rPr>
                      </w:pPr>
                      <w:r w:rsidRPr="00B65945">
                        <w:rPr>
                          <w:b/>
                          <w:bCs/>
                        </w:rPr>
                        <w:t xml:space="preserve">                                 1                                                         2                                                        3</w:t>
                      </w:r>
                    </w:p>
                  </w:txbxContent>
                </v:textbox>
                <w10:wrap type="square" anchorx="margin"/>
              </v:shape>
            </w:pict>
          </mc:Fallback>
        </mc:AlternateContent>
      </w:r>
      <w:r w:rsidR="007638D0">
        <w:t xml:space="preserve">Ex. </w:t>
      </w:r>
    </w:p>
    <w:p w14:paraId="7646671E" w14:textId="3F4BD880" w:rsidR="00311DDC" w:rsidRDefault="00311DDC" w:rsidP="00311DDC">
      <w:pPr>
        <w:jc w:val="center"/>
      </w:pPr>
      <w:r>
        <w:rPr>
          <w:noProof/>
        </w:rPr>
        <w:drawing>
          <wp:inline distT="0" distB="0" distL="0" distR="0" wp14:anchorId="30667AB7" wp14:editId="3BB66734">
            <wp:extent cx="1871663" cy="1871663"/>
            <wp:effectExtent l="0" t="0" r="0" b="0"/>
            <wp:docPr id="862955398" name="Graphic 1" descr="Hom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55398" name="Graphic 862955398" descr="Home outline"/>
                    <pic:cNvPicPr/>
                  </pic:nvPicPr>
                  <pic:blipFill>
                    <a:blip r:embed="rId5">
                      <a:extLst>
                        <a:ext uri="{96DAC541-7B7A-43D3-8B79-37D633B846F1}">
                          <asvg:svgBlip xmlns:asvg="http://schemas.microsoft.com/office/drawing/2016/SVG/main" r:embed="rId6"/>
                        </a:ext>
                      </a:extLst>
                    </a:blip>
                    <a:stretch>
                      <a:fillRect/>
                    </a:stretch>
                  </pic:blipFill>
                  <pic:spPr>
                    <a:xfrm>
                      <a:off x="0" y="0"/>
                      <a:ext cx="1873769" cy="1873769"/>
                    </a:xfrm>
                    <a:prstGeom prst="rect">
                      <a:avLst/>
                    </a:prstGeom>
                  </pic:spPr>
                </pic:pic>
              </a:graphicData>
            </a:graphic>
          </wp:inline>
        </w:drawing>
      </w:r>
      <w:r>
        <w:rPr>
          <w:noProof/>
        </w:rPr>
        <w:drawing>
          <wp:inline distT="0" distB="0" distL="0" distR="0" wp14:anchorId="5B769CA2" wp14:editId="025C8D21">
            <wp:extent cx="1862137" cy="1862137"/>
            <wp:effectExtent l="0" t="0" r="0" b="0"/>
            <wp:docPr id="1394051938" name="Graphic 2"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051938" name="Graphic 1394051938" descr="Hous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1864373" cy="1864373"/>
                    </a:xfrm>
                    <a:prstGeom prst="rect">
                      <a:avLst/>
                    </a:prstGeom>
                  </pic:spPr>
                </pic:pic>
              </a:graphicData>
            </a:graphic>
          </wp:inline>
        </w:drawing>
      </w:r>
      <w:r>
        <w:rPr>
          <w:noProof/>
        </w:rPr>
        <w:drawing>
          <wp:inline distT="0" distB="0" distL="0" distR="0" wp14:anchorId="5BBD76BF" wp14:editId="5C520715">
            <wp:extent cx="1752600" cy="1752600"/>
            <wp:effectExtent l="0" t="0" r="0" b="0"/>
            <wp:docPr id="1634401385" name="Graphic 3" descr="Hou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01385" name="Graphic 1634401385" descr="House outline"/>
                    <pic:cNvPicPr/>
                  </pic:nvPicPr>
                  <pic:blipFill>
                    <a:blip r:embed="rId9">
                      <a:extLst>
                        <a:ext uri="{96DAC541-7B7A-43D3-8B79-37D633B846F1}">
                          <asvg:svgBlip xmlns:asvg="http://schemas.microsoft.com/office/drawing/2016/SVG/main" r:embed="rId10"/>
                        </a:ext>
                      </a:extLst>
                    </a:blip>
                    <a:stretch>
                      <a:fillRect/>
                    </a:stretch>
                  </pic:blipFill>
                  <pic:spPr>
                    <a:xfrm>
                      <a:off x="0" y="0"/>
                      <a:ext cx="1755993" cy="1755993"/>
                    </a:xfrm>
                    <a:prstGeom prst="rect">
                      <a:avLst/>
                    </a:prstGeom>
                  </pic:spPr>
                </pic:pic>
              </a:graphicData>
            </a:graphic>
          </wp:inline>
        </w:drawing>
      </w:r>
    </w:p>
    <w:p w14:paraId="07294614" w14:textId="77777777" w:rsidR="005D0645" w:rsidRDefault="00311DDC" w:rsidP="00311DDC">
      <w:r>
        <w:t xml:space="preserve">                      </w:t>
      </w:r>
    </w:p>
    <w:tbl>
      <w:tblPr>
        <w:tblStyle w:val="TableGrid"/>
        <w:tblW w:w="9349" w:type="dxa"/>
        <w:jc w:val="center"/>
        <w:tblLook w:val="04A0" w:firstRow="1" w:lastRow="0" w:firstColumn="1" w:lastColumn="0" w:noHBand="0" w:noVBand="1"/>
      </w:tblPr>
      <w:tblGrid>
        <w:gridCol w:w="2337"/>
        <w:gridCol w:w="2337"/>
        <w:gridCol w:w="2337"/>
        <w:gridCol w:w="2338"/>
      </w:tblGrid>
      <w:tr w:rsidR="00B338D4" w14:paraId="59ED824B" w14:textId="77777777" w:rsidTr="00B338D4">
        <w:trPr>
          <w:jc w:val="center"/>
        </w:trPr>
        <w:tc>
          <w:tcPr>
            <w:tcW w:w="2337" w:type="dxa"/>
          </w:tcPr>
          <w:p w14:paraId="2AF4D4E5" w14:textId="007028C6" w:rsidR="00B338D4" w:rsidRDefault="00B338D4" w:rsidP="00D9422E">
            <w:pPr>
              <w:jc w:val="center"/>
            </w:pPr>
            <w:r>
              <w:t>Property</w:t>
            </w:r>
          </w:p>
        </w:tc>
        <w:tc>
          <w:tcPr>
            <w:tcW w:w="2337" w:type="dxa"/>
          </w:tcPr>
          <w:p w14:paraId="0D0768B2" w14:textId="56AE87B3" w:rsidR="00B338D4" w:rsidRDefault="00B338D4" w:rsidP="00D9422E">
            <w:pPr>
              <w:jc w:val="center"/>
            </w:pPr>
            <w:r>
              <w:t>Annual Income</w:t>
            </w:r>
          </w:p>
        </w:tc>
        <w:tc>
          <w:tcPr>
            <w:tcW w:w="2337" w:type="dxa"/>
          </w:tcPr>
          <w:p w14:paraId="0D982D63" w14:textId="58032DF8" w:rsidR="00B338D4" w:rsidRDefault="00B338D4" w:rsidP="00D9422E">
            <w:pPr>
              <w:jc w:val="center"/>
            </w:pPr>
            <w:r>
              <w:t>Market value</w:t>
            </w:r>
          </w:p>
        </w:tc>
        <w:tc>
          <w:tcPr>
            <w:tcW w:w="2338" w:type="dxa"/>
          </w:tcPr>
          <w:p w14:paraId="21F54890" w14:textId="3E174412" w:rsidR="00B338D4" w:rsidRDefault="00B338D4" w:rsidP="00D9422E">
            <w:pPr>
              <w:jc w:val="center"/>
            </w:pPr>
            <w:r>
              <w:t>Cap Rate</w:t>
            </w:r>
          </w:p>
        </w:tc>
      </w:tr>
      <w:tr w:rsidR="00B338D4" w14:paraId="1C3E38C7" w14:textId="77777777" w:rsidTr="00B338D4">
        <w:trPr>
          <w:jc w:val="center"/>
        </w:trPr>
        <w:tc>
          <w:tcPr>
            <w:tcW w:w="2337" w:type="dxa"/>
          </w:tcPr>
          <w:p w14:paraId="07AC6A1D" w14:textId="69D8EBF9" w:rsidR="00B338D4" w:rsidRDefault="00B338D4" w:rsidP="00D9422E">
            <w:r>
              <w:t>1</w:t>
            </w:r>
          </w:p>
        </w:tc>
        <w:tc>
          <w:tcPr>
            <w:tcW w:w="2337" w:type="dxa"/>
          </w:tcPr>
          <w:p w14:paraId="661E0019" w14:textId="0098D3AB" w:rsidR="00B338D4" w:rsidRDefault="00B338D4" w:rsidP="00B338D4">
            <w:pPr>
              <w:jc w:val="center"/>
            </w:pPr>
            <w:r>
              <w:t>100,000</w:t>
            </w:r>
          </w:p>
        </w:tc>
        <w:tc>
          <w:tcPr>
            <w:tcW w:w="2337" w:type="dxa"/>
          </w:tcPr>
          <w:p w14:paraId="7C6F9F77" w14:textId="45BFB20A" w:rsidR="00B338D4" w:rsidRDefault="00B338D4" w:rsidP="00B338D4">
            <w:pPr>
              <w:jc w:val="center"/>
            </w:pPr>
            <w:r>
              <w:t>1,000,000</w:t>
            </w:r>
          </w:p>
        </w:tc>
        <w:tc>
          <w:tcPr>
            <w:tcW w:w="2338" w:type="dxa"/>
          </w:tcPr>
          <w:p w14:paraId="4696A4D4" w14:textId="3948DB99" w:rsidR="00B338D4" w:rsidRDefault="00567D2D" w:rsidP="00B046A5">
            <w:pPr>
              <w:jc w:val="center"/>
            </w:pPr>
            <w:r>
              <w:t>10%</w:t>
            </w:r>
          </w:p>
        </w:tc>
      </w:tr>
      <w:tr w:rsidR="00B338D4" w14:paraId="33B2835C" w14:textId="77777777" w:rsidTr="00B338D4">
        <w:trPr>
          <w:trHeight w:val="40"/>
          <w:jc w:val="center"/>
        </w:trPr>
        <w:tc>
          <w:tcPr>
            <w:tcW w:w="2337" w:type="dxa"/>
          </w:tcPr>
          <w:p w14:paraId="1A14E304" w14:textId="41E1AA91" w:rsidR="00B338D4" w:rsidRDefault="00B338D4" w:rsidP="00D9422E">
            <w:r>
              <w:t>2</w:t>
            </w:r>
          </w:p>
        </w:tc>
        <w:tc>
          <w:tcPr>
            <w:tcW w:w="2337" w:type="dxa"/>
          </w:tcPr>
          <w:p w14:paraId="6B94F7E0" w14:textId="01FD0158" w:rsidR="00B338D4" w:rsidRDefault="00B338D4" w:rsidP="00B338D4">
            <w:pPr>
              <w:jc w:val="center"/>
            </w:pPr>
            <w:r>
              <w:t>150,000</w:t>
            </w:r>
          </w:p>
        </w:tc>
        <w:tc>
          <w:tcPr>
            <w:tcW w:w="2337" w:type="dxa"/>
          </w:tcPr>
          <w:p w14:paraId="2E55D730" w14:textId="3BCABBD7" w:rsidR="00B338D4" w:rsidRDefault="00B338D4" w:rsidP="00B338D4">
            <w:pPr>
              <w:jc w:val="center"/>
            </w:pPr>
            <w:r>
              <w:t>2,500,000</w:t>
            </w:r>
          </w:p>
        </w:tc>
        <w:tc>
          <w:tcPr>
            <w:tcW w:w="2338" w:type="dxa"/>
          </w:tcPr>
          <w:p w14:paraId="121466A5" w14:textId="6AF32F2C" w:rsidR="00B338D4" w:rsidRDefault="00567D2D" w:rsidP="00B046A5">
            <w:pPr>
              <w:jc w:val="center"/>
            </w:pPr>
            <w:r>
              <w:t>6%</w:t>
            </w:r>
          </w:p>
        </w:tc>
      </w:tr>
      <w:tr w:rsidR="00B338D4" w14:paraId="544C7F25" w14:textId="77777777" w:rsidTr="00B338D4">
        <w:trPr>
          <w:jc w:val="center"/>
        </w:trPr>
        <w:tc>
          <w:tcPr>
            <w:tcW w:w="2337" w:type="dxa"/>
          </w:tcPr>
          <w:p w14:paraId="62663BD5" w14:textId="09594C54" w:rsidR="00B338D4" w:rsidRDefault="00B338D4" w:rsidP="00D9422E">
            <w:r>
              <w:t>3</w:t>
            </w:r>
          </w:p>
        </w:tc>
        <w:tc>
          <w:tcPr>
            <w:tcW w:w="2337" w:type="dxa"/>
          </w:tcPr>
          <w:p w14:paraId="7BDC1082" w14:textId="6229459D" w:rsidR="00B338D4" w:rsidRDefault="00B338D4" w:rsidP="00B338D4">
            <w:pPr>
              <w:jc w:val="center"/>
            </w:pPr>
            <w:r>
              <w:t>275,000</w:t>
            </w:r>
          </w:p>
        </w:tc>
        <w:tc>
          <w:tcPr>
            <w:tcW w:w="2337" w:type="dxa"/>
          </w:tcPr>
          <w:p w14:paraId="07124B4D" w14:textId="693A47A9" w:rsidR="00B338D4" w:rsidRDefault="00B338D4" w:rsidP="00B338D4">
            <w:pPr>
              <w:jc w:val="center"/>
            </w:pPr>
            <w:r>
              <w:t>4,000,000</w:t>
            </w:r>
          </w:p>
        </w:tc>
        <w:tc>
          <w:tcPr>
            <w:tcW w:w="2338" w:type="dxa"/>
          </w:tcPr>
          <w:p w14:paraId="0E2C4B2C" w14:textId="0F4DF843" w:rsidR="00B338D4" w:rsidRDefault="00B046A5" w:rsidP="00B046A5">
            <w:pPr>
              <w:jc w:val="center"/>
            </w:pPr>
            <w:r>
              <w:t>6.88%</w:t>
            </w:r>
          </w:p>
        </w:tc>
      </w:tr>
    </w:tbl>
    <w:p w14:paraId="182F232B" w14:textId="248E6E46" w:rsidR="00311DDC" w:rsidRDefault="00311DDC" w:rsidP="00311DDC"/>
    <w:p w14:paraId="49684521" w14:textId="589A7D29" w:rsidR="001936D2" w:rsidRDefault="001936D2" w:rsidP="00311DDC">
      <w:r>
        <w:t xml:space="preserve">The higher the cap rate the higher the risk because it will take longer to pay itself </w:t>
      </w:r>
      <w:r w:rsidR="004476A7">
        <w:t xml:space="preserve">off. But these investments usually have more potential to produce higher profits, whereas lower cap rates are more secure </w:t>
      </w:r>
      <w:r w:rsidR="0075333D">
        <w:t>investments. Buildings with higher cap rates can also be more volatile and the cap rates might be unreliable because cash flows cannot be estimated accurately for the future.  Depending on your risk tolerance depends on what type of buildings you should look for.</w:t>
      </w:r>
    </w:p>
    <w:sectPr w:rsidR="00193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27"/>
    <w:rsid w:val="00145C9E"/>
    <w:rsid w:val="001936D2"/>
    <w:rsid w:val="00311DDC"/>
    <w:rsid w:val="004476A7"/>
    <w:rsid w:val="00567D2D"/>
    <w:rsid w:val="005D0645"/>
    <w:rsid w:val="0075333D"/>
    <w:rsid w:val="007638D0"/>
    <w:rsid w:val="007F2D78"/>
    <w:rsid w:val="009D5C7F"/>
    <w:rsid w:val="00A74710"/>
    <w:rsid w:val="00AA3CF6"/>
    <w:rsid w:val="00B046A5"/>
    <w:rsid w:val="00B338D4"/>
    <w:rsid w:val="00B65945"/>
    <w:rsid w:val="00C81427"/>
    <w:rsid w:val="00D9422E"/>
    <w:rsid w:val="00DB7DA1"/>
    <w:rsid w:val="00E1330E"/>
    <w:rsid w:val="00EA0F11"/>
    <w:rsid w:val="00EC5C16"/>
    <w:rsid w:val="00FB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3590"/>
  <w15:chartTrackingRefBased/>
  <w15:docId w15:val="{2F74A703-FE0E-4302-B597-EE9D7D20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427"/>
  </w:style>
  <w:style w:type="paragraph" w:styleId="Heading1">
    <w:name w:val="heading 1"/>
    <w:basedOn w:val="Normal"/>
    <w:next w:val="Normal"/>
    <w:link w:val="Heading1Char"/>
    <w:uiPriority w:val="9"/>
    <w:qFormat/>
    <w:rsid w:val="00C81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1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14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14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14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14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4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4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4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4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4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4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4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4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4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4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4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427"/>
    <w:rPr>
      <w:rFonts w:eastAsiaTheme="majorEastAsia" w:cstheme="majorBidi"/>
      <w:color w:val="272727" w:themeColor="text1" w:themeTint="D8"/>
    </w:rPr>
  </w:style>
  <w:style w:type="paragraph" w:styleId="Title">
    <w:name w:val="Title"/>
    <w:basedOn w:val="Normal"/>
    <w:next w:val="Normal"/>
    <w:link w:val="TitleChar"/>
    <w:uiPriority w:val="10"/>
    <w:qFormat/>
    <w:rsid w:val="00C81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4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427"/>
    <w:pPr>
      <w:spacing w:before="160"/>
      <w:jc w:val="center"/>
    </w:pPr>
    <w:rPr>
      <w:i/>
      <w:iCs/>
      <w:color w:val="404040" w:themeColor="text1" w:themeTint="BF"/>
    </w:rPr>
  </w:style>
  <w:style w:type="character" w:customStyle="1" w:styleId="QuoteChar">
    <w:name w:val="Quote Char"/>
    <w:basedOn w:val="DefaultParagraphFont"/>
    <w:link w:val="Quote"/>
    <w:uiPriority w:val="29"/>
    <w:rsid w:val="00C81427"/>
    <w:rPr>
      <w:i/>
      <w:iCs/>
      <w:color w:val="404040" w:themeColor="text1" w:themeTint="BF"/>
    </w:rPr>
  </w:style>
  <w:style w:type="paragraph" w:styleId="ListParagraph">
    <w:name w:val="List Paragraph"/>
    <w:basedOn w:val="Normal"/>
    <w:uiPriority w:val="34"/>
    <w:qFormat/>
    <w:rsid w:val="00C81427"/>
    <w:pPr>
      <w:ind w:left="720"/>
      <w:contextualSpacing/>
    </w:pPr>
  </w:style>
  <w:style w:type="character" w:styleId="IntenseEmphasis">
    <w:name w:val="Intense Emphasis"/>
    <w:basedOn w:val="DefaultParagraphFont"/>
    <w:uiPriority w:val="21"/>
    <w:qFormat/>
    <w:rsid w:val="00C81427"/>
    <w:rPr>
      <w:i/>
      <w:iCs/>
      <w:color w:val="0F4761" w:themeColor="accent1" w:themeShade="BF"/>
    </w:rPr>
  </w:style>
  <w:style w:type="paragraph" w:styleId="IntenseQuote">
    <w:name w:val="Intense Quote"/>
    <w:basedOn w:val="Normal"/>
    <w:next w:val="Normal"/>
    <w:link w:val="IntenseQuoteChar"/>
    <w:uiPriority w:val="30"/>
    <w:qFormat/>
    <w:rsid w:val="00C81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427"/>
    <w:rPr>
      <w:i/>
      <w:iCs/>
      <w:color w:val="0F4761" w:themeColor="accent1" w:themeShade="BF"/>
    </w:rPr>
  </w:style>
  <w:style w:type="character" w:styleId="IntenseReference">
    <w:name w:val="Intense Reference"/>
    <w:basedOn w:val="DefaultParagraphFont"/>
    <w:uiPriority w:val="32"/>
    <w:qFormat/>
    <w:rsid w:val="00C81427"/>
    <w:rPr>
      <w:b/>
      <w:bCs/>
      <w:smallCaps/>
      <w:color w:val="0F4761" w:themeColor="accent1" w:themeShade="BF"/>
      <w:spacing w:val="5"/>
    </w:rPr>
  </w:style>
  <w:style w:type="character" w:styleId="Strong">
    <w:name w:val="Strong"/>
    <w:basedOn w:val="DefaultParagraphFont"/>
    <w:uiPriority w:val="22"/>
    <w:qFormat/>
    <w:rsid w:val="00C81427"/>
    <w:rPr>
      <w:b/>
      <w:bCs/>
    </w:rPr>
  </w:style>
  <w:style w:type="paragraph" w:customStyle="1" w:styleId="comp">
    <w:name w:val="comp"/>
    <w:basedOn w:val="Normal"/>
    <w:rsid w:val="00C81427"/>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5D0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sv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pengelly</dc:creator>
  <cp:keywords/>
  <dc:description/>
  <cp:lastModifiedBy>carter pengelly</cp:lastModifiedBy>
  <cp:revision>2</cp:revision>
  <dcterms:created xsi:type="dcterms:W3CDTF">2024-06-18T01:00:00Z</dcterms:created>
  <dcterms:modified xsi:type="dcterms:W3CDTF">2024-06-18T01:00:00Z</dcterms:modified>
</cp:coreProperties>
</file>